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3796" w14:textId="77777777" w:rsidR="000035FF" w:rsidRDefault="001E1A4B">
      <w:pPr>
        <w:pStyle w:val="Nagwek11"/>
        <w:spacing w:before="0" w:after="0" w:line="320" w:lineRule="exact"/>
        <w:jc w:val="center"/>
        <w:rPr>
          <w:rFonts w:ascii="Helvetica" w:hAnsi="Helvetica" w:cs="Arimo"/>
          <w:color w:val="FF0000"/>
          <w:sz w:val="22"/>
          <w:szCs w:val="22"/>
          <w:u w:val="single"/>
        </w:rPr>
      </w:pPr>
      <w:r>
        <w:rPr>
          <w:rFonts w:ascii="Helvetica" w:hAnsi="Helvetica" w:cs="Arimo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" behindDoc="0" locked="0" layoutInCell="1" allowOverlap="1" wp14:anchorId="4D590369" wp14:editId="6AE4B8E5">
            <wp:simplePos x="0" y="0"/>
            <wp:positionH relativeFrom="column">
              <wp:posOffset>-4445</wp:posOffset>
            </wp:positionH>
            <wp:positionV relativeFrom="paragraph">
              <wp:posOffset>113665</wp:posOffset>
            </wp:positionV>
            <wp:extent cx="1914525" cy="47117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Arimo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3" behindDoc="0" locked="0" layoutInCell="1" allowOverlap="1" wp14:anchorId="63961CA7" wp14:editId="10D62F6D">
            <wp:simplePos x="0" y="0"/>
            <wp:positionH relativeFrom="column">
              <wp:posOffset>4605655</wp:posOffset>
            </wp:positionH>
            <wp:positionV relativeFrom="paragraph">
              <wp:posOffset>14605</wp:posOffset>
            </wp:positionV>
            <wp:extent cx="1628775" cy="723900"/>
            <wp:effectExtent l="0" t="0" r="0" b="0"/>
            <wp:wrapSquare wrapText="bothSides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888" b="2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C175C" w14:textId="77777777" w:rsidR="000035FF" w:rsidRDefault="000035FF">
      <w:pPr>
        <w:pStyle w:val="Nagwek11"/>
        <w:spacing w:before="0" w:after="0" w:line="320" w:lineRule="exact"/>
        <w:jc w:val="center"/>
        <w:rPr>
          <w:rFonts w:ascii="Helvetica" w:hAnsi="Helvetica" w:cs="Arimo"/>
          <w:sz w:val="22"/>
          <w:szCs w:val="22"/>
          <w:u w:val="single"/>
        </w:rPr>
      </w:pPr>
    </w:p>
    <w:p w14:paraId="7A290227" w14:textId="77777777" w:rsidR="000035FF" w:rsidRPr="001E1A4B" w:rsidRDefault="001E1A4B">
      <w:pPr>
        <w:pStyle w:val="Nagwek11"/>
        <w:spacing w:before="0" w:after="0" w:line="320" w:lineRule="exact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sz w:val="22"/>
          <w:szCs w:val="22"/>
          <w:u w:val="single"/>
        </w:rPr>
        <w:t>Załącznik nr 7a</w:t>
      </w:r>
    </w:p>
    <w:p w14:paraId="12449B4A" w14:textId="77777777" w:rsidR="000035FF" w:rsidRPr="001E1A4B" w:rsidRDefault="000035FF">
      <w:pPr>
        <w:pStyle w:val="Nagwek11"/>
        <w:spacing w:before="0" w:after="0" w:line="320" w:lineRule="exact"/>
        <w:rPr>
          <w:rFonts w:asciiTheme="majorHAnsi" w:hAnsiTheme="majorHAnsi" w:cstheme="majorHAnsi"/>
          <w:sz w:val="22"/>
          <w:szCs w:val="22"/>
          <w:u w:val="single"/>
        </w:rPr>
      </w:pPr>
    </w:p>
    <w:p w14:paraId="6D0628F1" w14:textId="77777777" w:rsidR="000035FF" w:rsidRPr="001E1A4B" w:rsidRDefault="001E1A4B">
      <w:pPr>
        <w:pStyle w:val="Tekstpodstawowy"/>
        <w:spacing w:after="0" w:line="320" w:lineRule="exact"/>
        <w:rPr>
          <w:rFonts w:asciiTheme="majorHAnsi" w:hAnsiTheme="majorHAnsi" w:cstheme="majorHAnsi"/>
          <w:b/>
          <w:u w:val="single"/>
        </w:rPr>
      </w:pPr>
      <w:bookmarkStart w:id="0" w:name="__DdeLink__2420_96701234"/>
      <w:r w:rsidRPr="001E1A4B">
        <w:rPr>
          <w:rFonts w:asciiTheme="majorHAnsi" w:hAnsiTheme="majorHAnsi" w:cstheme="majorHAnsi"/>
          <w:b/>
          <w:u w:val="single"/>
        </w:rPr>
        <w:t>OPIS PRZEDMIOTU KONKURSU ORAZ WYTYCZNE ZAMAWIAJĄCEGO</w:t>
      </w:r>
      <w:bookmarkEnd w:id="0"/>
      <w:r w:rsidRPr="001E1A4B">
        <w:rPr>
          <w:rFonts w:asciiTheme="majorHAnsi" w:hAnsiTheme="majorHAnsi" w:cstheme="majorHAnsi"/>
          <w:b/>
          <w:u w:val="single"/>
        </w:rPr>
        <w:t xml:space="preserve"> </w:t>
      </w:r>
    </w:p>
    <w:p w14:paraId="205D9532" w14:textId="77777777" w:rsidR="000035FF" w:rsidRPr="001E1A4B" w:rsidRDefault="001E1A4B">
      <w:pPr>
        <w:pStyle w:val="Nagwek11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shd w:val="clear" w:color="auto" w:fill="FFFFFF"/>
        </w:rPr>
        <w:t xml:space="preserve">KONCEPCJI URBANISTYCZNO-ARCHITEKTONICZNEJ NOWEGO BUDYNKU WYDZIAŁU INFORMATYKI ZACHODNIOPOMORSKIEGO UNIWERSYTETU TECHNOLOGICZNEGO W SZCZECINIE  </w:t>
      </w:r>
    </w:p>
    <w:p w14:paraId="41316B84" w14:textId="77777777" w:rsidR="000035FF" w:rsidRPr="001E1A4B" w:rsidRDefault="000035FF">
      <w:pPr>
        <w:pStyle w:val="Nagwek11"/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highlight w:val="white"/>
        </w:rPr>
      </w:pPr>
    </w:p>
    <w:p w14:paraId="1FF68451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I. PRZEDMIOT KONKURSU</w:t>
      </w:r>
    </w:p>
    <w:p w14:paraId="4F3ED757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1. Wprowadzenie </w:t>
      </w:r>
    </w:p>
    <w:p w14:paraId="38D7FC1F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Przedmiotem konkursu jest koncepcja architektoniczna </w:t>
      </w:r>
      <w:r w:rsidRPr="001E1A4B">
        <w:rPr>
          <w:rFonts w:asciiTheme="majorHAnsi" w:eastAsia="Arimo" w:hAnsiTheme="majorHAnsi" w:cstheme="majorHAnsi"/>
        </w:rPr>
        <w:t>nowego budynku Wydz</w:t>
      </w:r>
      <w:r w:rsidRPr="001E1A4B">
        <w:rPr>
          <w:rFonts w:asciiTheme="majorHAnsi" w:eastAsia="Arimo" w:hAnsiTheme="majorHAnsi" w:cstheme="majorHAnsi"/>
        </w:rPr>
        <w:t>iału Informatyki Zachodniopomorskiego Uniwersytetu Technologicznego w Szczecinie wraz z zagospodarowaniem terenu.</w:t>
      </w:r>
    </w:p>
    <w:p w14:paraId="50F01118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eastAsia="Arimo" w:hAnsiTheme="majorHAnsi" w:cstheme="majorHAnsi"/>
        </w:rPr>
        <w:t xml:space="preserve">Szacowana powierzchnia netto planowanego budynku to około 12 000 m2. </w:t>
      </w:r>
    </w:p>
    <w:p w14:paraId="24CCABC6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II. CHARAKTERYSTYKA OGÓLNA TERENU OPRACOWANIA KONKURSOWEGO – TERENU INWE</w:t>
      </w:r>
      <w:r w:rsidRPr="001E1A4B">
        <w:rPr>
          <w:rFonts w:asciiTheme="majorHAnsi" w:hAnsiTheme="majorHAnsi" w:cstheme="majorHAnsi"/>
        </w:rPr>
        <w:t>STYCJI</w:t>
      </w:r>
    </w:p>
    <w:p w14:paraId="5AE68D8A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1. Teren inwestycji - Lokalizacja i obsługa komunikacyjna oraz opis stanu istniejącego </w:t>
      </w:r>
    </w:p>
    <w:p w14:paraId="59D0D354" w14:textId="77777777" w:rsidR="000035FF" w:rsidRPr="001E1A4B" w:rsidRDefault="001E1A4B">
      <w:pPr>
        <w:pStyle w:val="Tekstpodstawowy"/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Planowany obiekt ma zostać zlokalizowany na terenie działki nr 1/ 4 </w:t>
      </w:r>
      <w:proofErr w:type="spellStart"/>
      <w:r w:rsidRPr="001E1A4B">
        <w:rPr>
          <w:rFonts w:asciiTheme="majorHAnsi" w:hAnsiTheme="majorHAnsi" w:cstheme="majorHAnsi"/>
        </w:rPr>
        <w:t>obr</w:t>
      </w:r>
      <w:proofErr w:type="spellEnd"/>
      <w:r w:rsidRPr="001E1A4B">
        <w:rPr>
          <w:rFonts w:asciiTheme="majorHAnsi" w:hAnsiTheme="majorHAnsi" w:cstheme="majorHAnsi"/>
        </w:rPr>
        <w:t xml:space="preserve">. </w:t>
      </w:r>
      <w:proofErr w:type="spellStart"/>
      <w:r w:rsidRPr="001E1A4B">
        <w:rPr>
          <w:rFonts w:asciiTheme="majorHAnsi" w:hAnsiTheme="majorHAnsi" w:cstheme="majorHAnsi"/>
        </w:rPr>
        <w:t>Pogodno</w:t>
      </w:r>
      <w:proofErr w:type="spellEnd"/>
      <w:r w:rsidRPr="001E1A4B">
        <w:rPr>
          <w:rFonts w:asciiTheme="majorHAnsi" w:hAnsiTheme="majorHAnsi" w:cstheme="majorHAnsi"/>
        </w:rPr>
        <w:t xml:space="preserve"> 105 w Szczecinie. Działka położona jest przy ulicy 26 Kwietnia i połączona z nią</w:t>
      </w:r>
      <w:r w:rsidRPr="001E1A4B">
        <w:rPr>
          <w:rFonts w:asciiTheme="majorHAnsi" w:hAnsiTheme="majorHAnsi" w:cstheme="majorHAnsi"/>
        </w:rPr>
        <w:t xml:space="preserve"> poprzez dwa wjazdy.  Nie planuje się modyfikacji podstawowego układu komunikacyjnego oraz budowy nowych wjazdów na teren inwestycji. Działka jest częściowo zagospodarowana i zabudowana. Na terenie działki znajduje się budynek </w:t>
      </w:r>
      <w:r w:rsidRPr="001E1A4B">
        <w:rPr>
          <w:rFonts w:asciiTheme="majorHAnsi" w:hAnsiTheme="majorHAnsi" w:cstheme="majorHAnsi"/>
        </w:rPr>
        <w:t>Wydziału Elektrycznego ZUT or</w:t>
      </w:r>
      <w:r w:rsidRPr="001E1A4B">
        <w:rPr>
          <w:rFonts w:asciiTheme="majorHAnsi" w:hAnsiTheme="majorHAnsi" w:cstheme="majorHAnsi"/>
        </w:rPr>
        <w:t>az budynki tymczasowe i garażowe , układ ciągów pieszych i kołowych oraz parking przy budynku Wydziału Elektrycznego przeznaczony do zachowania. Garaże i budynki tymczasowe są przeznaczone do rozbiórki. Na terenie działki znajduje się również duża ilość dr</w:t>
      </w:r>
      <w:r w:rsidRPr="001E1A4B">
        <w:rPr>
          <w:rFonts w:asciiTheme="majorHAnsi" w:hAnsiTheme="majorHAnsi" w:cstheme="majorHAnsi"/>
        </w:rPr>
        <w:t xml:space="preserve">zew – zaleca się aby przy lokalizowaniu obiektu lub obiektów na terenie działki ograniczyć do minimum konieczność wycinki drzewostanu. </w:t>
      </w:r>
    </w:p>
    <w:p w14:paraId="3B482272" w14:textId="77777777" w:rsidR="000035FF" w:rsidRPr="001E1A4B" w:rsidRDefault="001E1A4B">
      <w:pPr>
        <w:pStyle w:val="Tekstpodstawowy"/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Obsługę techniczną w zakresie mediów należy planować w oparciu o istniejące uzbrojenie na terenie działki inwestycyjnej oraz w ul. 26 Kwietnia. </w:t>
      </w:r>
      <w:r w:rsidRPr="001E1A4B">
        <w:rPr>
          <w:rFonts w:asciiTheme="majorHAnsi" w:hAnsiTheme="majorHAnsi" w:cstheme="majorHAnsi"/>
        </w:rPr>
        <w:t xml:space="preserve"> </w:t>
      </w:r>
    </w:p>
    <w:p w14:paraId="595E3C97" w14:textId="77777777" w:rsidR="000035FF" w:rsidRPr="001E1A4B" w:rsidRDefault="001E1A4B">
      <w:pPr>
        <w:pStyle w:val="Tekstpodstawowy"/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Przed rozpoczęciem prac projektowych zaleca się wizję lokalną na terenie planowanej inwestycji </w:t>
      </w:r>
    </w:p>
    <w:p w14:paraId="0F474A25" w14:textId="77777777" w:rsidR="000035FF" w:rsidRPr="001E1A4B" w:rsidRDefault="001E1A4B">
      <w:pPr>
        <w:pStyle w:val="Tekstpodstawowy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III. WYTYCZNE </w:t>
      </w:r>
      <w:r w:rsidRPr="001E1A4B">
        <w:rPr>
          <w:rFonts w:asciiTheme="majorHAnsi" w:hAnsiTheme="majorHAnsi" w:cstheme="majorHAnsi"/>
        </w:rPr>
        <w:t xml:space="preserve">I ZAŁOŻENIA PROJEKTOWE </w:t>
      </w:r>
    </w:p>
    <w:p w14:paraId="3CF42663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Przedstawione w niniejszym Załączniku do Regulaminu wytyczne są zbiorem przeanalizowanych potrzeb Organizatora w stosunku do programu, funkcji i lokalizacji poszczególnych elementów Inwestycji oraz zasad jej użytkowania. Wytyczne te</w:t>
      </w:r>
      <w:r w:rsidRPr="001E1A4B">
        <w:rPr>
          <w:rFonts w:asciiTheme="majorHAnsi" w:hAnsiTheme="majorHAnsi" w:cstheme="majorHAnsi"/>
        </w:rPr>
        <w:t xml:space="preserve"> należy traktować jako zalecane o ile nie jest wyraźnie określone w Regulaminie, iż wymaga się konkretnego rozwiązania czy uwzględnienie konkretnego oczekiwania Organizatora w tym także wytyczne określone jako „obligatoryjne”, „konieczne”, „niezbędne”, „ob</w:t>
      </w:r>
      <w:r w:rsidRPr="001E1A4B">
        <w:rPr>
          <w:rFonts w:asciiTheme="majorHAnsi" w:hAnsiTheme="majorHAnsi" w:cstheme="majorHAnsi"/>
        </w:rPr>
        <w:t>owiązkowe” lub poprzez użycie innych sformułowań, o takim znaczeniu.</w:t>
      </w:r>
    </w:p>
    <w:p w14:paraId="7D717F99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W przypadku wytycznych, gdzie wyraźnie nie określono danego wymagania jako obowiązkowego a jedynie jako „zalecane” lub „sugerowane” dopuszcza się odstępstwa od tych wytycznych o ile zosta</w:t>
      </w:r>
      <w:r w:rsidRPr="001E1A4B">
        <w:rPr>
          <w:rFonts w:asciiTheme="majorHAnsi" w:hAnsiTheme="majorHAnsi" w:cstheme="majorHAnsi"/>
        </w:rPr>
        <w:t xml:space="preserve">ną one w sposób racjonalny uzasadnione oraz będą uwzględniały elementy Inwestycji pożądane przez Organizatora lub zapewniające funkcjonowanie Inwestycji zgodnie z jej przeznaczeniem i zasadne w ocenie Sądu </w:t>
      </w:r>
      <w:r w:rsidRPr="001E1A4B">
        <w:rPr>
          <w:rFonts w:asciiTheme="majorHAnsi" w:hAnsiTheme="majorHAnsi" w:cstheme="majorHAnsi"/>
        </w:rPr>
        <w:lastRenderedPageBreak/>
        <w:t>Konkursowego oraz zaakceptowane przez Organizatora</w:t>
      </w:r>
      <w:r w:rsidRPr="001E1A4B">
        <w:rPr>
          <w:rFonts w:asciiTheme="majorHAnsi" w:hAnsiTheme="majorHAnsi" w:cstheme="majorHAnsi"/>
        </w:rPr>
        <w:t xml:space="preserve"> ze względu na ich koszt. Jednym z zadań konkursowych jest racjonalna optymalizacja przestrzeni i programu pod kątem budżetu Inwestycji oraz właściwy w powyższym kontekście dobór powierzchni dla poszczególnych pomieszczeń i przestrzeni. W tym zakresie do z</w:t>
      </w:r>
      <w:r w:rsidRPr="001E1A4B">
        <w:rPr>
          <w:rFonts w:asciiTheme="majorHAnsi" w:hAnsiTheme="majorHAnsi" w:cstheme="majorHAnsi"/>
        </w:rPr>
        <w:t>adań Uczestnika konkursu będzie należało ergonomiczne rozmieszczenie w obiekcie programu i funkcji przy zapewnieniu poprawnych oraz preferowanych przez Organizatora relacji pomiędzy elementami programu. W powyższym zakresie premiowane będą rozwiązania funk</w:t>
      </w:r>
      <w:r w:rsidRPr="001E1A4B">
        <w:rPr>
          <w:rFonts w:asciiTheme="majorHAnsi" w:hAnsiTheme="majorHAnsi" w:cstheme="majorHAnsi"/>
        </w:rPr>
        <w:t>cjonalne i przestrzenne optymalizujące wytyczne podane przez Organizatora oraz koszty budowy i eksploatacji Inwestycji. Intencją powyższych zapisów jest nieograniczanie inwencji twórczej Uczestników konkursu w poszukiwaniu oryginalnych i nowatorskich autor</w:t>
      </w:r>
      <w:r w:rsidRPr="001E1A4B">
        <w:rPr>
          <w:rFonts w:asciiTheme="majorHAnsi" w:hAnsiTheme="majorHAnsi" w:cstheme="majorHAnsi"/>
        </w:rPr>
        <w:t>skich rozwiązań realizujących na różne sposoby wytyczne i założenia Konkursu. Konkurs jest etapem poszukiwania przez Organizatora najlepszych rozwiązań wśród przedstawionych przez Uczestników różnych sposobów podejścia projektowego do zadanego problemu i z</w:t>
      </w:r>
      <w:r w:rsidRPr="001E1A4B">
        <w:rPr>
          <w:rFonts w:asciiTheme="majorHAnsi" w:hAnsiTheme="majorHAnsi" w:cstheme="majorHAnsi"/>
        </w:rPr>
        <w:t>aproponowania różnych dróg prowadzących do rozwiązania zadania konkursowego. Pewien stopień ogólności opracowania, jakim jest Koncepcja konkursowa, daje Uczestnikom możliwość własnej interpretacji zapisów wytycznych i założeń konkursowych, a trafność wybor</w:t>
      </w:r>
      <w:r w:rsidRPr="001E1A4B">
        <w:rPr>
          <w:rFonts w:asciiTheme="majorHAnsi" w:hAnsiTheme="majorHAnsi" w:cstheme="majorHAnsi"/>
        </w:rPr>
        <w:t>u rozwiązań realizujących te wytyczne i założenia będzie poddany ocenie Sądu konkursowego</w:t>
      </w:r>
    </w:p>
    <w:p w14:paraId="06391668" w14:textId="77777777" w:rsidR="000035FF" w:rsidRPr="001E1A4B" w:rsidRDefault="001E1A4B">
      <w:pPr>
        <w:pStyle w:val="Tekstpodstawowy"/>
        <w:spacing w:after="0" w:line="320" w:lineRule="exact"/>
        <w:rPr>
          <w:rFonts w:asciiTheme="majorHAnsi" w:hAnsiTheme="majorHAnsi" w:cstheme="majorHAnsi"/>
        </w:rPr>
      </w:pPr>
      <w:r w:rsidRPr="001E1A4B">
        <w:rPr>
          <w:rFonts w:asciiTheme="majorHAnsi" w:eastAsia="Calibri" w:hAnsiTheme="majorHAnsi" w:cstheme="majorHAnsi"/>
          <w:b/>
          <w:bCs/>
        </w:rPr>
        <w:t>OPIS PLANOWANEGO OBIEKTU ORAZ WYTYCZNE ZAMAWIAJĄCEGO</w:t>
      </w:r>
    </w:p>
    <w:p w14:paraId="571D5724" w14:textId="77777777" w:rsidR="000035FF" w:rsidRPr="001E1A4B" w:rsidRDefault="000035FF">
      <w:pPr>
        <w:pStyle w:val="Tekstpodstawowy"/>
        <w:spacing w:after="0" w:line="320" w:lineRule="exact"/>
        <w:rPr>
          <w:rFonts w:asciiTheme="majorHAnsi" w:eastAsia="Calibri" w:hAnsiTheme="majorHAnsi" w:cstheme="majorHAnsi"/>
        </w:rPr>
      </w:pPr>
    </w:p>
    <w:p w14:paraId="1BA4E53C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Nowo projektowany budynek ma powstać w efekcie wdrażanej konsolidacji kampusów ZUT w Szczecinie. Na działce prz</w:t>
      </w:r>
      <w:r w:rsidRPr="001E1A4B">
        <w:rPr>
          <w:rFonts w:asciiTheme="majorHAnsi" w:hAnsiTheme="majorHAnsi" w:cstheme="majorHAnsi"/>
        </w:rPr>
        <w:t>y ul. 26 Kwietnia powstanie siedziba, która przejmie wszystkie funkcje dwóch dotychczas funkcjonujących budynków Wydziału Informatyki mieszczących się przy ul. Żołnierskiej a jednocześnie uzupełni je o powierzchnie i funkcje, których dotychczas na Wydziale</w:t>
      </w:r>
      <w:r w:rsidRPr="001E1A4B">
        <w:rPr>
          <w:rFonts w:asciiTheme="majorHAnsi" w:hAnsiTheme="majorHAnsi" w:cstheme="majorHAnsi"/>
        </w:rPr>
        <w:t xml:space="preserve"> brakowało lub które w obecnych czasach są standardem na uczelniach o znaczeniu ponadregionalnym. Przyszły budynek ma łączyć ze sobą szeroko pojętą funkcjonalność i możliwość rozwoju z technologiami proekologicznymi zapewniającymi zrównoważony rozwój i eks</w:t>
      </w:r>
      <w:r w:rsidRPr="001E1A4B">
        <w:rPr>
          <w:rFonts w:asciiTheme="majorHAnsi" w:hAnsiTheme="majorHAnsi" w:cstheme="majorHAnsi"/>
        </w:rPr>
        <w:t>ploatację przyjazną środowisku naturalnemu. Przestrzeń Wydziału ma być inspirująca, innowacyjna, elastyczna, dostępna i wspomagająca przeprowadzane tam procesy naukowe i dydaktyczne. Istotnym elementem mają być przestrzenie do pracy wspólnej i indywidualne</w:t>
      </w:r>
      <w:r w:rsidRPr="001E1A4B">
        <w:rPr>
          <w:rFonts w:asciiTheme="majorHAnsi" w:hAnsiTheme="majorHAnsi" w:cstheme="majorHAnsi"/>
        </w:rPr>
        <w:t xml:space="preserve">j, które będą rozmieszczone w całym obiekcie. Zaleca się aby przestrzeń holu głównego i przestrzenie korytarzy nie pełniły jedynie funkcji komunikacyjnej ale stanowiły atrakcyjną przestrzeń pracy, rekreacji i interakcji między studentami. Z racji na fakt, </w:t>
      </w:r>
      <w:r w:rsidRPr="001E1A4B">
        <w:rPr>
          <w:rFonts w:asciiTheme="majorHAnsi" w:hAnsiTheme="majorHAnsi" w:cstheme="majorHAnsi"/>
        </w:rPr>
        <w:t>iż budynek ma powstać na działce, na której obecnie funkcjonuje budynek Wydziału Elektrycznego zaleca się połączenia obydwu obiektów łącznikiem, który umożliwiłby dzielenie niektórych funkcji (m. in. sali audytoryjnej i przyszłej kantyny) nie jest to jedna</w:t>
      </w:r>
      <w:r w:rsidRPr="001E1A4B">
        <w:rPr>
          <w:rFonts w:asciiTheme="majorHAnsi" w:hAnsiTheme="majorHAnsi" w:cstheme="majorHAnsi"/>
        </w:rPr>
        <w:t>k warunek obligatoryjny. Działka jest zróżnicowana pod względem ukształtowania terenu i na jej obszarze występuje duże zadrzewienie, co jest z punktu widzenia Użytkownika dużym atutem.  Przyszły projekt powinien uszanować stan istniejący i tylko w minimaln</w:t>
      </w:r>
      <w:r w:rsidRPr="001E1A4B">
        <w:rPr>
          <w:rFonts w:asciiTheme="majorHAnsi" w:hAnsiTheme="majorHAnsi" w:cstheme="majorHAnsi"/>
        </w:rPr>
        <w:t xml:space="preserve">ym i niezbędnym zakresie ingerować w otoczenie w zakresie wycinki drzew. </w:t>
      </w:r>
    </w:p>
    <w:p w14:paraId="1FFAEA84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b/>
          <w:bCs/>
        </w:rPr>
        <w:t>SKRÓCONA CHARAKTERYSTYKA INWESTYCJI – PARAMETRY TECHNICZNE</w:t>
      </w:r>
      <w:r w:rsidRPr="001E1A4B">
        <w:rPr>
          <w:rFonts w:asciiTheme="majorHAnsi" w:hAnsiTheme="majorHAnsi" w:cstheme="majorHAnsi"/>
        </w:rPr>
        <w:t xml:space="preserve"> </w:t>
      </w:r>
    </w:p>
    <w:p w14:paraId="78039ADF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i/>
        </w:rPr>
        <w:t>1. określenie zapotrzebowania na wodę, energię oraz sposobu odprowadzania lub oczyszczania ścieków, a także innych potrzeb</w:t>
      </w:r>
      <w:r w:rsidRPr="001E1A4B">
        <w:rPr>
          <w:rFonts w:asciiTheme="majorHAnsi" w:hAnsiTheme="majorHAnsi" w:cstheme="majorHAnsi"/>
          <w:i/>
        </w:rPr>
        <w:t xml:space="preserve"> w zakresie infrastruktury technicznej, a w razie potrzeby również sposobu unieszkodliwiania odpadów;</w:t>
      </w:r>
    </w:p>
    <w:p w14:paraId="3D5963CF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- zapotrzebowanie na energię – 200kW + efektywne wykorzystanie energii odnawialnej + kompensacja mocy biernej.</w:t>
      </w:r>
    </w:p>
    <w:p w14:paraId="2956CD59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- sposób odprowadzania ścieków </w:t>
      </w:r>
      <w:r w:rsidRPr="001E1A4B">
        <w:rPr>
          <w:rFonts w:asciiTheme="majorHAnsi" w:hAnsiTheme="majorHAnsi" w:cstheme="majorHAnsi"/>
        </w:rPr>
        <w:t>bytowych – do istniejącej sieci w ul. 26 Kwietnia</w:t>
      </w:r>
    </w:p>
    <w:p w14:paraId="02109E50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- sposób unieszkodliwiania odpadów – wywóz przez miejskie służby, po wcześniejszej segregacji;</w:t>
      </w:r>
    </w:p>
    <w:p w14:paraId="52960168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lastRenderedPageBreak/>
        <w:t>- woda deszczowa – do wykorzystania w obiegu wtórnym (do systemu spłukiwania toalet, podlewania terenu itp.)</w:t>
      </w:r>
    </w:p>
    <w:p w14:paraId="5FC0E246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i/>
        </w:rPr>
        <w:t>2.</w:t>
      </w:r>
      <w:r w:rsidRPr="001E1A4B">
        <w:rPr>
          <w:rFonts w:asciiTheme="majorHAnsi" w:hAnsiTheme="majorHAnsi" w:cstheme="majorHAnsi"/>
          <w:i/>
        </w:rPr>
        <w:t xml:space="preserve"> kreślenie planowanego sposobu zagospodarowania terenu oraz charakterystyki zabudowy i zagospodarowania terenu, w tym przeznaczenia i gabarytów projektowanych obiektów budowlanych oraz powierzchni terenu podlegającej przekształceniu</w:t>
      </w:r>
    </w:p>
    <w:p w14:paraId="05B59311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Budynek lub zespół budy</w:t>
      </w:r>
      <w:r w:rsidRPr="001E1A4B">
        <w:rPr>
          <w:rFonts w:asciiTheme="majorHAnsi" w:hAnsiTheme="majorHAnsi" w:cstheme="majorHAnsi"/>
        </w:rPr>
        <w:t>nków ma zostać zlokalizowany na terenie działki nr 1/4 przy ul. 26 Kwietnia, na której obecnie mieści się budynek dydaktyczny Wydziału Elektrycznego ZUT oraz budynki tymczasowe i garażowe. Budynki tymczasowe i garażowe zostają przeznaczone do rozbiórki. Bu</w:t>
      </w:r>
      <w:r w:rsidRPr="001E1A4B">
        <w:rPr>
          <w:rFonts w:asciiTheme="majorHAnsi" w:hAnsiTheme="majorHAnsi" w:cstheme="majorHAnsi"/>
        </w:rPr>
        <w:t>dynek główny ma być wzniesiony na potrzeby Wydziału Informatyki i pełnić funkcję dydaktyczną z funkcjami towarzyszącymi. Wysokość obiektu – budynek / budynki  o funkcji głównej - średniowysoki (do 6 kondygnacji naziemnych, szacunkowa maksymalna wysokość ok</w:t>
      </w:r>
      <w:r w:rsidRPr="001E1A4B">
        <w:rPr>
          <w:rFonts w:asciiTheme="majorHAnsi" w:hAnsiTheme="majorHAnsi" w:cstheme="majorHAnsi"/>
        </w:rPr>
        <w:t xml:space="preserve"> 22 m. Możliwa jedna kondygnacja podziemna.</w:t>
      </w:r>
    </w:p>
    <w:p w14:paraId="21D79B6A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b/>
          <w:bCs/>
        </w:rPr>
        <w:t>Powierzchnia zabudowy projektowanej:</w:t>
      </w:r>
      <w:r w:rsidRPr="001E1A4B">
        <w:rPr>
          <w:rFonts w:asciiTheme="majorHAnsi" w:hAnsiTheme="majorHAnsi" w:cstheme="majorHAnsi"/>
        </w:rPr>
        <w:t xml:space="preserve"> </w:t>
      </w:r>
      <w:r w:rsidRPr="001E1A4B">
        <w:rPr>
          <w:rFonts w:asciiTheme="majorHAnsi" w:hAnsiTheme="majorHAnsi" w:cstheme="majorHAnsi"/>
        </w:rPr>
        <w:t xml:space="preserve">łączna powierzchnia zabudowy dla działki max. 30% Powierzchnia biologicznie czynna – min. 60% </w:t>
      </w:r>
    </w:p>
    <w:p w14:paraId="6771F9BD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b/>
        </w:rPr>
        <w:t xml:space="preserve">Miejsca postojowe: </w:t>
      </w:r>
      <w:r w:rsidRPr="001E1A4B">
        <w:rPr>
          <w:rFonts w:asciiTheme="majorHAnsi" w:hAnsiTheme="majorHAnsi" w:cstheme="majorHAnsi"/>
        </w:rPr>
        <w:t>W ramach projektu należy przewidzieć miejsca postojowe dla użytkowników. Na terenie zostanie zlokalizowana min. 1 stacja ładowania aut elektrycznych; wskaźnik miejsc postojowych na poziomie 1MP / 4 miejsca dydaktyczne przy założeniu efektywności wykorzysta</w:t>
      </w:r>
      <w:r w:rsidRPr="001E1A4B">
        <w:rPr>
          <w:rFonts w:asciiTheme="majorHAnsi" w:hAnsiTheme="majorHAnsi" w:cstheme="majorHAnsi"/>
        </w:rPr>
        <w:t xml:space="preserve">nia miejsc postojowych na poziomie 60%. (przy 1500 studentach – zapotrzebowanie </w:t>
      </w:r>
      <w:r w:rsidRPr="001E1A4B">
        <w:rPr>
          <w:rFonts w:asciiTheme="majorHAnsi" w:hAnsiTheme="majorHAnsi" w:cstheme="majorHAnsi"/>
          <w:b/>
        </w:rPr>
        <w:t>max. 250 MP</w:t>
      </w:r>
      <w:r w:rsidRPr="001E1A4B">
        <w:rPr>
          <w:rFonts w:asciiTheme="majorHAnsi" w:hAnsiTheme="majorHAnsi" w:cstheme="majorHAnsi"/>
        </w:rPr>
        <w:t xml:space="preserve">). </w:t>
      </w:r>
    </w:p>
    <w:p w14:paraId="1A86A566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i/>
        </w:rPr>
        <w:t>3. określenie charakterystycznych parametrów technicznych inwestycji oraz dane charakteryzujące jej wpływ na środowisko.</w:t>
      </w:r>
    </w:p>
    <w:p w14:paraId="3A83F673" w14:textId="77777777" w:rsidR="000035FF" w:rsidRPr="001E1A4B" w:rsidRDefault="001E1A4B">
      <w:pPr>
        <w:jc w:val="both"/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 xml:space="preserve">Planowana inwestycja przewiduje, iż </w:t>
      </w:r>
      <w:r w:rsidRPr="001E1A4B">
        <w:rPr>
          <w:rFonts w:asciiTheme="majorHAnsi" w:hAnsiTheme="majorHAnsi" w:cstheme="majorHAnsi"/>
          <w:b/>
          <w:i/>
        </w:rPr>
        <w:t>maks</w:t>
      </w:r>
      <w:r w:rsidRPr="001E1A4B">
        <w:rPr>
          <w:rFonts w:asciiTheme="majorHAnsi" w:hAnsiTheme="majorHAnsi" w:cstheme="majorHAnsi"/>
          <w:b/>
          <w:i/>
        </w:rPr>
        <w:t>ymalna powierzchnia zabudowy na działce nie przekroczy 2 ha</w:t>
      </w:r>
      <w:r w:rsidRPr="001E1A4B">
        <w:rPr>
          <w:rFonts w:asciiTheme="majorHAnsi" w:hAnsiTheme="majorHAnsi" w:cstheme="majorHAnsi"/>
        </w:rPr>
        <w:t xml:space="preserve">, w związku z powyższym nie będzie ona znacząco ani potencjalnie oddziaływać na środowisko w myśl </w:t>
      </w:r>
      <w:r w:rsidRPr="001E1A4B">
        <w:rPr>
          <w:rFonts w:asciiTheme="majorHAnsi" w:hAnsiTheme="majorHAnsi" w:cstheme="majorHAnsi"/>
          <w:i/>
        </w:rPr>
        <w:t xml:space="preserve">Rozporządzenia rady Ministrów z dnia 10 września 2019 r. w sprawie przedsięwzięć mogących znacząco </w:t>
      </w:r>
      <w:r w:rsidRPr="001E1A4B">
        <w:rPr>
          <w:rFonts w:asciiTheme="majorHAnsi" w:hAnsiTheme="majorHAnsi" w:cstheme="majorHAnsi"/>
          <w:i/>
        </w:rPr>
        <w:t>oddziaływać na środowisko</w:t>
      </w:r>
      <w:r w:rsidRPr="001E1A4B">
        <w:rPr>
          <w:rFonts w:asciiTheme="majorHAnsi" w:hAnsiTheme="majorHAnsi" w:cstheme="majorHAnsi"/>
        </w:rPr>
        <w:t>.</w:t>
      </w:r>
    </w:p>
    <w:p w14:paraId="73925CAF" w14:textId="77777777" w:rsidR="000035FF" w:rsidRPr="001E1A4B" w:rsidRDefault="001E1A4B">
      <w:pPr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  <w:i/>
          <w:iCs/>
        </w:rPr>
        <w:t xml:space="preserve">4. Rozwiązania technologiczne, energooszczędne i proekologiczne </w:t>
      </w:r>
    </w:p>
    <w:p w14:paraId="50FAADA5" w14:textId="77777777" w:rsidR="000035FF" w:rsidRPr="001E1A4B" w:rsidRDefault="001E1A4B">
      <w:pPr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Obiekt należy projektować w oparciu o najnowsze technologie w zakresie energooszczędności, odzyskiwania zasobów (energetycznych, wodnych itd.), wykorzystania wód op</w:t>
      </w:r>
      <w:r w:rsidRPr="001E1A4B">
        <w:rPr>
          <w:rFonts w:asciiTheme="majorHAnsi" w:hAnsiTheme="majorHAnsi" w:cstheme="majorHAnsi"/>
        </w:rPr>
        <w:t>adowych. Zaleca się stosowanie s</w:t>
      </w:r>
      <w:r w:rsidRPr="001E1A4B">
        <w:rPr>
          <w:rFonts w:asciiTheme="majorHAnsi" w:hAnsiTheme="majorHAnsi" w:cstheme="majorHAnsi"/>
        </w:rPr>
        <w:t xml:space="preserve">ystemu pozyskiwania energii np. panele fotowoltaiczne lub/i szkło okienne z ogniwami fotowoltaicznymi, systemy odzysku wody szarej, odzysku, retencji i ponownego wykorzystania wód opadowych, systemy odzysku ciepła z układów </w:t>
      </w:r>
      <w:r w:rsidRPr="001E1A4B">
        <w:rPr>
          <w:rFonts w:asciiTheme="majorHAnsi" w:hAnsiTheme="majorHAnsi" w:cstheme="majorHAnsi"/>
        </w:rPr>
        <w:t xml:space="preserve">chłodzenia (np. serwerowni), </w:t>
      </w:r>
      <w:r w:rsidRPr="001E1A4B">
        <w:rPr>
          <w:rFonts w:asciiTheme="majorHAnsi" w:hAnsiTheme="majorHAnsi" w:cstheme="majorHAnsi"/>
          <w:b/>
          <w:bCs/>
        </w:rPr>
        <w:t>systemy kompensacji mocy biernej (wymóg obligatoryjny)</w:t>
      </w:r>
      <w:r w:rsidRPr="001E1A4B">
        <w:rPr>
          <w:rFonts w:asciiTheme="majorHAnsi" w:hAnsiTheme="majorHAnsi" w:cstheme="majorHAnsi"/>
        </w:rPr>
        <w:t xml:space="preserve">, centralny system sterowania i zarządzania oświetlaniem, nadmiarowy system zasilania (UPS centralnym i generator prądu) i inne rozwiązania wg uznania projektanta. </w:t>
      </w:r>
    </w:p>
    <w:p w14:paraId="3BE46763" w14:textId="77777777" w:rsidR="000035FF" w:rsidRPr="001E1A4B" w:rsidRDefault="001E1A4B">
      <w:pPr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Zaleca s</w:t>
      </w:r>
      <w:r w:rsidRPr="001E1A4B">
        <w:rPr>
          <w:rFonts w:asciiTheme="majorHAnsi" w:hAnsiTheme="majorHAnsi" w:cstheme="majorHAnsi"/>
        </w:rPr>
        <w:t xml:space="preserve">ię zastosowanie rozwiązań przyszłościowych i innowacyjnych w zakresie planowania instalacji teletechnicznej (sieć komputerowa, środki łączności, kontrola dostępu, możliwość obsługi i rozwoju technologii </w:t>
      </w:r>
      <w:proofErr w:type="spellStart"/>
      <w:r w:rsidRPr="001E1A4B">
        <w:rPr>
          <w:rFonts w:asciiTheme="majorHAnsi" w:hAnsiTheme="majorHAnsi" w:cstheme="majorHAnsi"/>
        </w:rPr>
        <w:t>IoT</w:t>
      </w:r>
      <w:proofErr w:type="spellEnd"/>
      <w:r w:rsidRPr="001E1A4B">
        <w:rPr>
          <w:rFonts w:asciiTheme="majorHAnsi" w:hAnsiTheme="majorHAnsi" w:cstheme="majorHAnsi"/>
        </w:rPr>
        <w:t xml:space="preserve">, centralnego i </w:t>
      </w:r>
      <w:proofErr w:type="spellStart"/>
      <w:r w:rsidRPr="001E1A4B">
        <w:rPr>
          <w:rFonts w:asciiTheme="majorHAnsi" w:hAnsiTheme="majorHAnsi" w:cstheme="majorHAnsi"/>
        </w:rPr>
        <w:t>zdlnego</w:t>
      </w:r>
      <w:proofErr w:type="spellEnd"/>
      <w:r w:rsidRPr="001E1A4B">
        <w:rPr>
          <w:rFonts w:asciiTheme="majorHAnsi" w:hAnsiTheme="majorHAnsi" w:cstheme="majorHAnsi"/>
        </w:rPr>
        <w:t xml:space="preserve"> sterownia urządzeniami i o</w:t>
      </w:r>
      <w:r w:rsidRPr="001E1A4B">
        <w:rPr>
          <w:rFonts w:asciiTheme="majorHAnsi" w:hAnsiTheme="majorHAnsi" w:cstheme="majorHAnsi"/>
        </w:rPr>
        <w:t xml:space="preserve">świetleniem itp.), przestrzeń zaprojektowana tak aby można było zastosować roboty sprzątające itp. </w:t>
      </w:r>
    </w:p>
    <w:p w14:paraId="445F0FA4" w14:textId="77777777" w:rsidR="000035FF" w:rsidRPr="001E1A4B" w:rsidRDefault="001E1A4B">
      <w:pPr>
        <w:rPr>
          <w:rFonts w:asciiTheme="majorHAnsi" w:hAnsiTheme="majorHAnsi" w:cstheme="majorHAnsi"/>
        </w:rPr>
      </w:pPr>
      <w:r w:rsidRPr="001E1A4B">
        <w:rPr>
          <w:rFonts w:asciiTheme="majorHAnsi" w:hAnsiTheme="majorHAnsi" w:cstheme="majorHAnsi"/>
        </w:rPr>
        <w:t>W opisie dołączonym do pracy konkursowej należy wskazać i opisać rozwiązania w zakresie zastosowanych technologii proekologicznych</w:t>
      </w:r>
    </w:p>
    <w:p w14:paraId="0DE7D5C8" w14:textId="77777777" w:rsidR="000035FF" w:rsidRPr="001E1A4B" w:rsidRDefault="000035FF">
      <w:pPr>
        <w:rPr>
          <w:rFonts w:asciiTheme="majorHAnsi" w:hAnsiTheme="majorHAnsi" w:cstheme="majorHAnsi"/>
        </w:rPr>
      </w:pPr>
    </w:p>
    <w:p w14:paraId="12010CE9" w14:textId="69E54D30" w:rsidR="000035FF" w:rsidRPr="001E1A4B" w:rsidRDefault="001E1A4B">
      <w:pPr>
        <w:rPr>
          <w:rFonts w:asciiTheme="majorHAnsi" w:hAnsiTheme="majorHAnsi" w:cstheme="majorHAnsi"/>
          <w:b/>
          <w:bCs/>
        </w:rPr>
      </w:pPr>
      <w:r w:rsidRPr="001E1A4B">
        <w:rPr>
          <w:rFonts w:asciiTheme="majorHAnsi" w:hAnsiTheme="majorHAnsi" w:cstheme="majorHAnsi"/>
          <w:b/>
          <w:bCs/>
        </w:rPr>
        <w:t>Szczegółowy opis program</w:t>
      </w:r>
      <w:r w:rsidRPr="001E1A4B">
        <w:rPr>
          <w:rFonts w:asciiTheme="majorHAnsi" w:hAnsiTheme="majorHAnsi" w:cstheme="majorHAnsi"/>
          <w:b/>
          <w:bCs/>
        </w:rPr>
        <w:t xml:space="preserve">u funkcjonalnego znajduje się w załączniku nr 7b </w:t>
      </w:r>
      <w:proofErr w:type="spellStart"/>
      <w:r w:rsidRPr="001E1A4B">
        <w:rPr>
          <w:rFonts w:asciiTheme="majorHAnsi" w:hAnsiTheme="majorHAnsi" w:cstheme="majorHAnsi"/>
          <w:b/>
          <w:bCs/>
        </w:rPr>
        <w:t>Rrgulaminu</w:t>
      </w:r>
      <w:proofErr w:type="spellEnd"/>
    </w:p>
    <w:sectPr w:rsidR="000035FF" w:rsidRPr="001E1A4B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504B" w14:textId="77777777" w:rsidR="001E1A4B" w:rsidRDefault="001E1A4B" w:rsidP="001E1A4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8D87F3C" w14:textId="77777777" w:rsidR="001E1A4B" w:rsidRDefault="001E1A4B" w:rsidP="001E1A4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20504"/>
      <w:docPartObj>
        <w:docPartGallery w:val="Page Numbers (Bottom of Page)"/>
        <w:docPartUnique/>
      </w:docPartObj>
    </w:sdtPr>
    <w:sdtContent>
      <w:p w14:paraId="7484E5FF" w14:textId="0B9ECFFF" w:rsidR="001E1A4B" w:rsidRDefault="001E1A4B" w:rsidP="001E1A4B">
        <w:pPr>
          <w:pStyle w:val="Stopka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71D82" w14:textId="77777777" w:rsidR="001E1A4B" w:rsidRDefault="001E1A4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6D62" w14:textId="77777777" w:rsidR="001E1A4B" w:rsidRDefault="001E1A4B" w:rsidP="001E1A4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84D1046" w14:textId="77777777" w:rsidR="001E1A4B" w:rsidRDefault="001E1A4B" w:rsidP="001E1A4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5FF"/>
    <w:rsid w:val="000035FF"/>
    <w:rsid w:val="001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19FF"/>
  <w15:docId w15:val="{E052DFD5-3E59-41A7-BAE6-418D976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1">
    <w:name w:val="Nagłówek 11"/>
    <w:basedOn w:val="Normalny"/>
    <w:qFormat/>
    <w:pPr>
      <w:keepNext/>
      <w:spacing w:before="240" w:after="60" w:line="240" w:lineRule="auto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E1A4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E1A4B"/>
    <w:rPr>
      <w:rFonts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1381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nowej siedziby  wydziału informatyki</dc:title>
  <dc:subject/>
  <dc:creator>Katarzyna Śmigielska</dc:creator>
  <dc:description/>
  <cp:lastModifiedBy>Adam Spychala</cp:lastModifiedBy>
  <cp:revision>6</cp:revision>
  <dcterms:created xsi:type="dcterms:W3CDTF">2020-06-25T12:11:00Z</dcterms:created>
  <dcterms:modified xsi:type="dcterms:W3CDTF">2022-10-06T21:31:00Z</dcterms:modified>
  <dc:language>pl-PL</dc:language>
</cp:coreProperties>
</file>